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8E72F3" w14:textId="5E5FAF60" w:rsidR="00D309CC" w:rsidRPr="002810CC" w:rsidRDefault="00D309CC" w:rsidP="00D46431">
      <w:pPr>
        <w:pStyle w:val="CH"/>
      </w:pPr>
      <w:bookmarkStart w:id="0" w:name="historyclause"/>
      <w:r w:rsidRPr="002810CC">
        <w:t>3GPP RAN</w:t>
      </w:r>
      <w:r w:rsidR="00CF20E3" w:rsidRPr="002810CC">
        <w:t xml:space="preserve"> </w:t>
      </w:r>
      <w:r w:rsidRPr="002810CC">
        <w:t>WG</w:t>
      </w:r>
      <w:r w:rsidR="00337364" w:rsidRPr="002810CC">
        <w:t>4</w:t>
      </w:r>
      <w:r w:rsidRPr="002810CC">
        <w:t xml:space="preserve"> Meeting #</w:t>
      </w:r>
      <w:r w:rsidR="00337364" w:rsidRPr="002810CC">
        <w:t>117</w:t>
      </w:r>
      <w:r w:rsidRPr="002810CC">
        <w:tab/>
      </w:r>
      <w:r w:rsidR="00D46431" w:rsidRPr="002810CC">
        <w:tab/>
      </w:r>
      <w:r w:rsidR="00F86D62" w:rsidRPr="00F86D62">
        <w:t>R4-2520558</w:t>
      </w:r>
    </w:p>
    <w:p w14:paraId="50DC9730" w14:textId="3FD84D18" w:rsidR="00D309CC" w:rsidRPr="00FD166F" w:rsidRDefault="00337364" w:rsidP="00D46431">
      <w:pPr>
        <w:pStyle w:val="CH"/>
        <w:tabs>
          <w:tab w:val="clear" w:pos="7920"/>
        </w:tabs>
        <w:rPr>
          <w:b w:val="0"/>
        </w:rPr>
      </w:pPr>
      <w:r w:rsidRPr="002810CC">
        <w:t>Dallas</w:t>
      </w:r>
      <w:r w:rsidR="00D309CC" w:rsidRPr="002810CC">
        <w:t xml:space="preserve">, </w:t>
      </w:r>
      <w:r w:rsidRPr="002810CC">
        <w:t>USA</w:t>
      </w:r>
      <w:r w:rsidR="00D309CC" w:rsidRPr="002810CC">
        <w:t xml:space="preserve">, </w:t>
      </w:r>
      <w:r w:rsidR="002810CC" w:rsidRPr="002810CC">
        <w:t>17th – 21st November 2025</w:t>
      </w:r>
      <w:r w:rsidR="00D46431">
        <w:tab/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1490914E" w:rsidR="00D309CC" w:rsidRPr="0008103A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F86D62">
        <w:t>10.7</w:t>
      </w:r>
    </w:p>
    <w:p w14:paraId="4DBE005A" w14:textId="2CCBD6F0" w:rsidR="00D309CC" w:rsidRPr="00DD5217" w:rsidRDefault="00D309CC" w:rsidP="00D309CC">
      <w:pPr>
        <w:pStyle w:val="CH"/>
        <w:rPr>
          <w:b w:val="0"/>
        </w:rPr>
      </w:pPr>
      <w:r w:rsidRPr="00DD5217">
        <w:t>Source:</w:t>
      </w:r>
      <w:r w:rsidRPr="00DD5217">
        <w:tab/>
        <w:t>Apple</w:t>
      </w:r>
    </w:p>
    <w:p w14:paraId="0D2061A1" w14:textId="1470FBCB" w:rsidR="00D309CC" w:rsidRPr="00DD5217" w:rsidRDefault="00D309CC" w:rsidP="002810CC">
      <w:pPr>
        <w:pStyle w:val="CH"/>
        <w:ind w:left="2260" w:hanging="2260"/>
      </w:pPr>
      <w:r w:rsidRPr="00DD5217">
        <w:t>Title:</w:t>
      </w:r>
      <w:r w:rsidRPr="00DD5217">
        <w:tab/>
      </w:r>
      <w:r w:rsidR="00F71596" w:rsidRPr="00F71596">
        <w:t>Power back-off analysis for ETSI regulations in L-band</w:t>
      </w:r>
    </w:p>
    <w:p w14:paraId="052B1E0C" w14:textId="578F7DA7" w:rsidR="00104BC6" w:rsidRPr="00DD5217" w:rsidRDefault="00104BC6" w:rsidP="00D309CC">
      <w:pPr>
        <w:pStyle w:val="CH"/>
      </w:pPr>
      <w:r w:rsidRPr="00DD5217">
        <w:t>WI/SI:</w:t>
      </w:r>
      <w:r w:rsidRPr="00DD5217">
        <w:tab/>
      </w:r>
      <w:proofErr w:type="spellStart"/>
      <w:r w:rsidR="002810CC" w:rsidRPr="00DD5217">
        <w:t>NR_NTN_solutions</w:t>
      </w:r>
      <w:proofErr w:type="spellEnd"/>
      <w:r w:rsidR="002810CC" w:rsidRPr="00DD5217">
        <w:t>-Core</w:t>
      </w:r>
    </w:p>
    <w:p w14:paraId="6C6D1281" w14:textId="14AC144C" w:rsidR="00104BC6" w:rsidRPr="00DD5217" w:rsidRDefault="00104BC6" w:rsidP="00D309CC">
      <w:pPr>
        <w:pStyle w:val="CH"/>
        <w:rPr>
          <w:b w:val="0"/>
        </w:rPr>
      </w:pPr>
      <w:r w:rsidRPr="00DD5217">
        <w:t>Release:</w:t>
      </w:r>
      <w:r w:rsidRPr="00DD5217">
        <w:tab/>
        <w:t>Rel-</w:t>
      </w:r>
      <w:r w:rsidR="002810CC" w:rsidRPr="00DD5217">
        <w:t>17</w:t>
      </w:r>
    </w:p>
    <w:p w14:paraId="2E4E044D" w14:textId="77777777" w:rsidR="00D309CC" w:rsidRDefault="00D309CC" w:rsidP="00D309CC">
      <w:pPr>
        <w:pStyle w:val="CH"/>
      </w:pPr>
      <w:r w:rsidRPr="00DD5217">
        <w:t>Document for:</w:t>
      </w:r>
      <w:r w:rsidRPr="00DD5217">
        <w:tab/>
        <w:t>Discussion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3FEBE524" w14:textId="66616D25" w:rsidR="00F71596" w:rsidRDefault="00A917CA" w:rsidP="00A25B38">
      <w:pPr>
        <w:jc w:val="both"/>
      </w:pPr>
      <w:r>
        <w:t>RAN#86 meeting approved the Rel-17 WI that aimed to enable the 5G/NR radio access technology for non-terrestrial satellite deployments</w:t>
      </w:r>
      <w:r w:rsidR="00CF4836">
        <w:t xml:space="preserve"> </w:t>
      </w:r>
      <w:r w:rsidR="00EF487C">
        <w:rPr>
          <w:highlight w:val="yellow"/>
        </w:rPr>
        <w:fldChar w:fldCharType="begin"/>
      </w:r>
      <w:r w:rsidR="00EF487C">
        <w:instrText xml:space="preserve"> REF _Ref13820109 \r \h </w:instrText>
      </w:r>
      <w:r w:rsidR="00EF487C">
        <w:rPr>
          <w:highlight w:val="yellow"/>
        </w:rPr>
      </w:r>
      <w:r w:rsidR="00EF487C">
        <w:rPr>
          <w:highlight w:val="yellow"/>
        </w:rPr>
        <w:fldChar w:fldCharType="separate"/>
      </w:r>
      <w:r w:rsidR="00EF487C">
        <w:t>[1]</w:t>
      </w:r>
      <w:r w:rsidR="00EF487C">
        <w:rPr>
          <w:highlight w:val="yellow"/>
        </w:rPr>
        <w:fldChar w:fldCharType="end"/>
      </w:r>
      <w:r w:rsidR="00CA4BCC">
        <w:t>, whereupon</w:t>
      </w:r>
      <w:r>
        <w:t xml:space="preserve"> </w:t>
      </w:r>
      <w:r w:rsidR="00CA4BCC">
        <w:t>one</w:t>
      </w:r>
      <w:r w:rsidRPr="00C110E5">
        <w:t xml:space="preserve"> of the WI objectives was to define and introduce the corresponding bands into the 3GPP specifications. The outcome of </w:t>
      </w:r>
      <w:r w:rsidR="00CF4836">
        <w:t>the Rel-17</w:t>
      </w:r>
      <w:r w:rsidRPr="00C110E5">
        <w:t xml:space="preserve"> discussions was two NTN bands – L-band and S-band – </w:t>
      </w:r>
      <w:r>
        <w:t>which</w:t>
      </w:r>
      <w:r w:rsidRPr="00C110E5">
        <w:t xml:space="preserve"> were added as bands n255 and n256, respectively</w:t>
      </w:r>
      <w:r>
        <w:t>, to the Rel-17 core specifications</w:t>
      </w:r>
      <w:r w:rsidRPr="00C110E5">
        <w:t xml:space="preserve">. </w:t>
      </w:r>
      <w:r w:rsidR="00CF4836">
        <w:t xml:space="preserve">While most of the satellite MSS bands have global ITU allocations and </w:t>
      </w:r>
      <w:r w:rsidR="00CA4BCC">
        <w:t xml:space="preserve">can </w:t>
      </w:r>
      <w:r w:rsidR="00CF4836">
        <w:t>be enabled in different regions, there exist regional and country specific requirements</w:t>
      </w:r>
      <w:r w:rsidR="00220194">
        <w:t xml:space="preserve">. As an example, US FCC defines additional out-of-band emission masks for all MSS bands that can be operated in US, and so </w:t>
      </w:r>
      <w:r w:rsidR="00CF4836">
        <w:t xml:space="preserve">ETSI </w:t>
      </w:r>
      <w:r w:rsidR="00220194">
        <w:t>does for the satellite MSS bands that can be activated in the ETSI regulatory domain</w:t>
      </w:r>
      <w:r w:rsidR="00CF4836">
        <w:t xml:space="preserve">. 3GPP did not capture all ETSI regulations for all applicable MSS bands, which makes it impossible to ensure compliant UE behaviour in countries following the ETSI standards. </w:t>
      </w:r>
    </w:p>
    <w:p w14:paraId="06E92CC7" w14:textId="380FF816" w:rsidR="008E7986" w:rsidRDefault="00CF4836" w:rsidP="00A25B38">
      <w:pPr>
        <w:jc w:val="both"/>
      </w:pPr>
      <w:r>
        <w:t>Thus, in</w:t>
      </w:r>
      <w:r w:rsidRPr="00CF4836">
        <w:t xml:space="preserve"> this discussion paper we present a</w:t>
      </w:r>
      <w:r>
        <w:t xml:space="preserve">n </w:t>
      </w:r>
      <w:r w:rsidRPr="00CF4836">
        <w:t xml:space="preserve">overview of the existing ETSI requirements </w:t>
      </w:r>
      <w:r>
        <w:t xml:space="preserve">for the MSS </w:t>
      </w:r>
      <w:r w:rsidR="00F71596">
        <w:t>L-</w:t>
      </w:r>
      <w:r>
        <w:t>bands</w:t>
      </w:r>
      <w:r w:rsidR="00F71596">
        <w:t xml:space="preserve"> with associated power back-off analysis.</w:t>
      </w:r>
      <w:r>
        <w:t xml:space="preserve"> </w:t>
      </w:r>
    </w:p>
    <w:p w14:paraId="3A67921B" w14:textId="41D8CBDA" w:rsidR="008E7986" w:rsidRDefault="008E7986" w:rsidP="008E7986">
      <w:pPr>
        <w:pStyle w:val="Heading1"/>
      </w:pPr>
      <w:r>
        <w:t>2</w:t>
      </w:r>
      <w:r>
        <w:tab/>
      </w:r>
      <w:r w:rsidR="00C814CA">
        <w:t>ETSI standards</w:t>
      </w:r>
      <w:r>
        <w:t xml:space="preserve"> </w:t>
      </w:r>
      <w:r w:rsidR="00C65948">
        <w:t xml:space="preserve">for </w:t>
      </w:r>
      <w:r w:rsidR="003333B3">
        <w:t xml:space="preserve">the </w:t>
      </w:r>
      <w:r w:rsidR="00C65948">
        <w:t>MSS L-band</w:t>
      </w:r>
    </w:p>
    <w:p w14:paraId="5A9DEFDC" w14:textId="122EC7AB" w:rsidR="00AB337F" w:rsidRDefault="00AB337F" w:rsidP="00AB337F">
      <w:pPr>
        <w:jc w:val="both"/>
      </w:pPr>
      <w:r>
        <w:t>During the Rel-19 specification work for so-called combined L-bands</w:t>
      </w:r>
      <w:r w:rsidR="007C023B">
        <w:t>,</w:t>
      </w:r>
      <w:r>
        <w:t xml:space="preserve"> 3GPP already analysed applicable ETSI standards and performed the power back-off analysis for the 5G/NR based NTN technologies</w:t>
      </w:r>
      <w:r w:rsidR="00B650C4">
        <w:t>.</w:t>
      </w:r>
      <w:r>
        <w:t xml:space="preserve"> The outcome of that work was new NS flags that were defined for the NTN NR bands.</w:t>
      </w:r>
      <w:r w:rsidR="007C023B">
        <w:t xml:space="preserve"> However, there was no analysis performed for the IOT bands 255 (ETSI L-band sub-rage 1) and 253 (ETSI L-band sub-range 2). </w:t>
      </w:r>
    </w:p>
    <w:p w14:paraId="1513FA36" w14:textId="3B73ADCC" w:rsidR="00D325B6" w:rsidRDefault="00D325B6" w:rsidP="00D325B6">
      <w:pPr>
        <w:pStyle w:val="Heading2"/>
      </w:pPr>
      <w:r>
        <w:t>2.1</w:t>
      </w:r>
      <w:r>
        <w:tab/>
        <w:t xml:space="preserve">ETSI in-band </w:t>
      </w:r>
      <w:r w:rsidR="001C3037">
        <w:t>emissions</w:t>
      </w:r>
    </w:p>
    <w:p w14:paraId="6387B994" w14:textId="1946E1A1" w:rsidR="00552802" w:rsidRDefault="007C023B" w:rsidP="00AB337F">
      <w:pPr>
        <w:jc w:val="both"/>
      </w:pPr>
      <w:r>
        <w:t xml:space="preserve">The L-band in-band and out-of-band emission requirements are defined in ETSI </w:t>
      </w:r>
      <w:r w:rsidRPr="007C023B">
        <w:t>EN 301681</w:t>
      </w:r>
      <w:r>
        <w:t xml:space="preserve">. The in-band emission mask can be found in Annex A, whereupon Figure </w:t>
      </w:r>
      <w:r w:rsidR="007C7F6C">
        <w:t>A</w:t>
      </w:r>
      <w:r>
        <w:t>-1 shows the super-position of th</w:t>
      </w:r>
      <w:r w:rsidR="00385187">
        <w:t>e ETSI</w:t>
      </w:r>
      <w:r>
        <w:t xml:space="preserve"> in-band mask </w:t>
      </w:r>
      <w:r w:rsidR="00385187">
        <w:t xml:space="preserve">(pink) </w:t>
      </w:r>
      <w:r>
        <w:t>and the 3GPP NB-IOT mask</w:t>
      </w:r>
      <w:r w:rsidR="00385187">
        <w:t xml:space="preserve"> (blue)</w:t>
      </w:r>
      <w:r>
        <w:t xml:space="preserve">. </w:t>
      </w:r>
      <w:r w:rsidR="00552802">
        <w:t xml:space="preserve">In Figure </w:t>
      </w:r>
      <w:r w:rsidR="007C7F6C">
        <w:t>A</w:t>
      </w:r>
      <w:r w:rsidR="00552802">
        <w:t xml:space="preserve">-1 all emission levels are scaled to the same measurement unit expressed in dBm/MHz, whereupon we indicate both original and scaled values. </w:t>
      </w:r>
    </w:p>
    <w:p w14:paraId="68AC548D" w14:textId="41AD561B" w:rsidR="007C023B" w:rsidRDefault="003333B3" w:rsidP="00AB337F">
      <w:pPr>
        <w:jc w:val="both"/>
      </w:pPr>
      <w:r>
        <w:t>As can be seen from the figure, the 3GPP NB-IOT mask is more stringent except a small frequency range at offset of 100-150kHz, where the ETSI mask has more stringent emission levels.</w:t>
      </w:r>
      <w:r w:rsidR="00552802">
        <w:t xml:space="preserve"> </w:t>
      </w:r>
      <w:r w:rsidR="00140A0B">
        <w:t>Nevertheless</w:t>
      </w:r>
      <w:r w:rsidR="00541B74">
        <w:t>, w</w:t>
      </w:r>
      <w:r w:rsidR="00552802">
        <w:t>e conducted a</w:t>
      </w:r>
      <w:r w:rsidR="00D325B6">
        <w:t xml:space="preserve"> set of</w:t>
      </w:r>
      <w:r w:rsidR="00552802">
        <w:t xml:space="preserve"> additional power back-off simulations, </w:t>
      </w:r>
      <w:r w:rsidR="00541B74">
        <w:t xml:space="preserve">presented </w:t>
      </w:r>
      <w:r w:rsidR="00D325B6">
        <w:t xml:space="preserve">in </w:t>
      </w:r>
      <w:r w:rsidR="00541B74">
        <w:t>Figure 2</w:t>
      </w:r>
      <w:r w:rsidR="00785878">
        <w:t>.1</w:t>
      </w:r>
      <w:r w:rsidR="00541B74">
        <w:t>-</w:t>
      </w:r>
      <w:r w:rsidR="007C7F6C">
        <w:t>1</w:t>
      </w:r>
      <w:r w:rsidR="00541B74">
        <w:t>, from which we can see that irrespective of how many tones are allocate</w:t>
      </w:r>
      <w:r w:rsidR="00D325B6">
        <w:t>d</w:t>
      </w:r>
      <w:r w:rsidR="00541B74">
        <w:t xml:space="preserve"> – 1 tone or 12 tones – all emissions stay within the ETSI limits.</w:t>
      </w:r>
    </w:p>
    <w:p w14:paraId="2362F283" w14:textId="7B5926F6" w:rsidR="00D325B6" w:rsidRDefault="00D325B6" w:rsidP="00AB337F">
      <w:pPr>
        <w:jc w:val="both"/>
      </w:pPr>
      <w:r>
        <w:t xml:space="preserve">It is also worth noting that according to ETSI </w:t>
      </w:r>
      <w:r w:rsidRPr="007C023B">
        <w:t>EN 301681</w:t>
      </w:r>
      <w:r w:rsidR="00F345E1">
        <w:t xml:space="preserve"> </w:t>
      </w:r>
      <w:r>
        <w:t>same in-band mask is assumed for ETSI sub-range 1 and sub-range 2, i.e. IOT bands 255 and 253, respectively. Thus, the existing ETSI in-band mask is not a limiting factor for the IOT bands 255 and 253.</w:t>
      </w:r>
    </w:p>
    <w:p w14:paraId="626D28A0" w14:textId="54642DA2" w:rsidR="00D325B6" w:rsidRPr="00D325B6" w:rsidRDefault="00D325B6" w:rsidP="00D325B6">
      <w:pPr>
        <w:pStyle w:val="Observation"/>
      </w:pPr>
      <w:r w:rsidRPr="00D325B6">
        <w:t>Observation 1a:</w:t>
      </w:r>
      <w:r w:rsidRPr="00D325B6">
        <w:tab/>
        <w:t>Same ETSI in-band mask from EN 301681 is assumed for sub-range 1 and sub-range 2, i.e. IOT bands 255 and 253.</w:t>
      </w:r>
    </w:p>
    <w:p w14:paraId="43E87C9F" w14:textId="55A188B6" w:rsidR="00D325B6" w:rsidRPr="00D325B6" w:rsidRDefault="00D325B6" w:rsidP="00D325B6">
      <w:pPr>
        <w:pStyle w:val="Observation"/>
      </w:pPr>
      <w:r w:rsidRPr="00D325B6">
        <w:t>Observation 1b:</w:t>
      </w:r>
      <w:r w:rsidRPr="00D325B6">
        <w:tab/>
        <w:t>While the ETSI in-band mask is more stringent for the offset at 100-150kHz, actual power back-off simulations indicate that all emissions stay within the ETSI limits.</w:t>
      </w:r>
    </w:p>
    <w:p w14:paraId="6477BE35" w14:textId="77777777" w:rsidR="00D325B6" w:rsidRDefault="00D325B6" w:rsidP="00AB337F">
      <w:pPr>
        <w:jc w:val="both"/>
      </w:pPr>
    </w:p>
    <w:p w14:paraId="4C39F511" w14:textId="77777777" w:rsidR="00552802" w:rsidRDefault="00552802" w:rsidP="006B1F12"/>
    <w:p w14:paraId="73F37401" w14:textId="26D60B0B" w:rsidR="003333B3" w:rsidRDefault="00832408" w:rsidP="006B1F12">
      <w:r w:rsidRPr="00832408">
        <w:rPr>
          <w:noProof/>
        </w:rPr>
        <w:drawing>
          <wp:inline distT="0" distB="0" distL="0" distR="0" wp14:anchorId="6ACFAB39" wp14:editId="7C72704C">
            <wp:extent cx="2995200" cy="2422800"/>
            <wp:effectExtent l="0" t="0" r="2540" b="3175"/>
            <wp:docPr id="680017133" name="Picture 1" descr="A graph of a frequency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0017133" name="Picture 1" descr="A graph of a frequency&#10;&#10;AI-generated content may be incorrect.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95200" cy="242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 w:rsidRPr="00832408">
        <w:rPr>
          <w:noProof/>
        </w:rPr>
        <w:drawing>
          <wp:inline distT="0" distB="0" distL="0" distR="0" wp14:anchorId="3E2A0AAB" wp14:editId="4D4B0281">
            <wp:extent cx="2901600" cy="2246400"/>
            <wp:effectExtent l="0" t="0" r="0" b="1905"/>
            <wp:docPr id="185012765" name="Picture 1" descr="A graph of a frequency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012765" name="Picture 1" descr="A graph of a frequency&#10;&#10;AI-generated content may be incorrect.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01600" cy="224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0E1E71" w14:textId="77777777" w:rsidR="001C3037" w:rsidRDefault="001C3037" w:rsidP="006B1F12"/>
    <w:p w14:paraId="1F5A9654" w14:textId="64CCFB6A" w:rsidR="006B1F12" w:rsidRDefault="00832408" w:rsidP="006B1F12">
      <w:r w:rsidRPr="00832408">
        <w:rPr>
          <w:noProof/>
        </w:rPr>
        <w:drawing>
          <wp:inline distT="0" distB="0" distL="0" distR="0" wp14:anchorId="26DC2E71" wp14:editId="4D477E81">
            <wp:extent cx="2930400" cy="2300400"/>
            <wp:effectExtent l="0" t="0" r="3810" b="0"/>
            <wp:docPr id="2053718560" name="Picture 1" descr="A graph of a frequency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3718560" name="Picture 1" descr="A graph of a frequency&#10;&#10;AI-generated content may be incorrect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930400" cy="230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 w:rsidRPr="00832408">
        <w:rPr>
          <w:noProof/>
        </w:rPr>
        <w:drawing>
          <wp:inline distT="0" distB="0" distL="0" distR="0" wp14:anchorId="153F09A2" wp14:editId="05012F60">
            <wp:extent cx="2995200" cy="2343600"/>
            <wp:effectExtent l="0" t="0" r="2540" b="6350"/>
            <wp:docPr id="509841229" name="Picture 1" descr="A graph of a frequency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9841229" name="Picture 1" descr="A graph of a frequency&#10;&#10;AI-generated content may be incorrect.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995200" cy="234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DCAF89" w14:textId="55E934BF" w:rsidR="006B1F12" w:rsidRDefault="006B1F12" w:rsidP="003F3E46">
      <w:pPr>
        <w:pStyle w:val="TF"/>
      </w:pPr>
      <w:r>
        <w:t>Figure 2.1-</w:t>
      </w:r>
      <w:r w:rsidR="00F57645">
        <w:t>1</w:t>
      </w:r>
      <w:r>
        <w:t xml:space="preserve">: Power back-off simulations for </w:t>
      </w:r>
      <w:r w:rsidR="00695CB8">
        <w:t xml:space="preserve">PC3 and </w:t>
      </w:r>
      <w:r>
        <w:t>the ETSI in-band mask</w:t>
      </w:r>
      <w:r w:rsidR="00832408">
        <w:t xml:space="preserve"> (1, 3, 6 and 12 tones)</w:t>
      </w:r>
      <w:r>
        <w:t>.</w:t>
      </w:r>
    </w:p>
    <w:p w14:paraId="5675D545" w14:textId="77777777" w:rsidR="001C3037" w:rsidRDefault="001C3037" w:rsidP="00E72324"/>
    <w:p w14:paraId="339793E1" w14:textId="08724C37" w:rsidR="001C3037" w:rsidRDefault="001C3037" w:rsidP="001C3037">
      <w:pPr>
        <w:pStyle w:val="Heading2"/>
      </w:pPr>
      <w:r>
        <w:t>2.2</w:t>
      </w:r>
      <w:r>
        <w:tab/>
        <w:t>ETSI out-of-band emissions</w:t>
      </w:r>
    </w:p>
    <w:p w14:paraId="2491293E" w14:textId="6EB1C78D" w:rsidR="00CE3A08" w:rsidRDefault="00CE3A08" w:rsidP="00E72324">
      <w:r>
        <w:t xml:space="preserve">ETSI </w:t>
      </w:r>
      <w:r w:rsidRPr="007C023B">
        <w:t>EN 301681</w:t>
      </w:r>
      <w:r>
        <w:t xml:space="preserve"> follows different approaches while defining out-of-band emission limits for the sub-range</w:t>
      </w:r>
      <w:r w:rsidR="006E1154">
        <w:t xml:space="preserve"> 1 and 2</w:t>
      </w:r>
      <w:r>
        <w:t>:</w:t>
      </w:r>
    </w:p>
    <w:p w14:paraId="55975C51" w14:textId="7E12A82B" w:rsidR="00F55E6B" w:rsidRDefault="00CE3A08" w:rsidP="00CE3A08">
      <w:pPr>
        <w:pStyle w:val="B1"/>
      </w:pPr>
      <w:r>
        <w:t>-</w:t>
      </w:r>
      <w:r>
        <w:tab/>
        <w:t xml:space="preserve">Sub-range 1 (band 255): The lower </w:t>
      </w:r>
      <w:r w:rsidR="00F55E6B">
        <w:t xml:space="preserve">edge </w:t>
      </w:r>
      <w:r>
        <w:t xml:space="preserve">range </w:t>
      </w:r>
      <w:r w:rsidR="006E1154">
        <w:t xml:space="preserve">out-of-band </w:t>
      </w:r>
      <w:r>
        <w:t xml:space="preserve">emission limits start with a stringent limit of -10dBm/30kHz, i.e. 5dBm/MHz, which will </w:t>
      </w:r>
      <w:r w:rsidR="006E1154">
        <w:t>cause</w:t>
      </w:r>
      <w:r>
        <w:t xml:space="preserve"> power back-off for the NB-IOT channel if placed at the lower edge of the band. </w:t>
      </w:r>
      <w:r w:rsidR="00F55E6B">
        <w:t>To solve that issue 3GPP has already decided to consider a "guard band" of 190kHz. The upper edge emission limits are based on the same in-band mask presented in section 2.1, i.e. there should be no additional constraints.</w:t>
      </w:r>
    </w:p>
    <w:p w14:paraId="5F74D608" w14:textId="4054911F" w:rsidR="00300BF3" w:rsidRDefault="00F55E6B" w:rsidP="0052216E">
      <w:pPr>
        <w:pStyle w:val="B1"/>
      </w:pPr>
      <w:r>
        <w:t>-</w:t>
      </w:r>
      <w:r>
        <w:tab/>
        <w:t xml:space="preserve">Sub-range 2 (band 253): Both lower and the upper edge </w:t>
      </w:r>
      <w:r w:rsidR="00EA4C9E">
        <w:t xml:space="preserve">out-of-band </w:t>
      </w:r>
      <w:r>
        <w:t xml:space="preserve">emission limits are based on the ETSI in-band emission mask and thus would not trigger any additional constraints. </w:t>
      </w:r>
    </w:p>
    <w:p w14:paraId="32780EDB" w14:textId="5D57736B" w:rsidR="00300BF3" w:rsidRPr="00300BF3" w:rsidRDefault="00300BF3" w:rsidP="00300BF3">
      <w:pPr>
        <w:pStyle w:val="Observation"/>
      </w:pPr>
      <w:r w:rsidRPr="00300BF3">
        <w:t xml:space="preserve">Observation </w:t>
      </w:r>
      <w:r>
        <w:t>2</w:t>
      </w:r>
      <w:r w:rsidRPr="00300BF3">
        <w:t>a:</w:t>
      </w:r>
      <w:r w:rsidRPr="00300BF3">
        <w:tab/>
      </w:r>
      <w:r>
        <w:t xml:space="preserve">Sub-range 1 </w:t>
      </w:r>
      <w:r w:rsidR="00B13555">
        <w:t xml:space="preserve">(band 255) </w:t>
      </w:r>
      <w:r>
        <w:t>lower edge strict emission requirements are handled via additional guard band</w:t>
      </w:r>
      <w:r w:rsidRPr="00300BF3">
        <w:t>.</w:t>
      </w:r>
      <w:r>
        <w:t xml:space="preserve"> Upper edge emission limits are based on the in-band mask and thus would not require any power back-off.</w:t>
      </w:r>
    </w:p>
    <w:p w14:paraId="68CD991E" w14:textId="52FA94F8" w:rsidR="00300BF3" w:rsidRPr="00300BF3" w:rsidRDefault="00300BF3" w:rsidP="00300BF3">
      <w:pPr>
        <w:pStyle w:val="Observation"/>
      </w:pPr>
      <w:r w:rsidRPr="00300BF3">
        <w:t xml:space="preserve">Observation </w:t>
      </w:r>
      <w:r w:rsidR="00005BED">
        <w:t>2</w:t>
      </w:r>
      <w:r w:rsidRPr="00300BF3">
        <w:t>b:</w:t>
      </w:r>
      <w:r w:rsidRPr="00300BF3">
        <w:tab/>
      </w:r>
      <w:r>
        <w:t xml:space="preserve">Sub-range 2 </w:t>
      </w:r>
      <w:r w:rsidR="00B13555">
        <w:t xml:space="preserve">(band 253) </w:t>
      </w:r>
      <w:r w:rsidR="001B009A">
        <w:t>l</w:t>
      </w:r>
      <w:r>
        <w:t>ower and upper edge emission requirements are based on the in-band mask and thus would not require any power back-off.</w:t>
      </w:r>
    </w:p>
    <w:p w14:paraId="7FF89FE0" w14:textId="2043EC51" w:rsidR="00E72324" w:rsidRDefault="001954BE" w:rsidP="00E72324">
      <w:r>
        <w:lastRenderedPageBreak/>
        <w:t xml:space="preserve"> </w:t>
      </w:r>
    </w:p>
    <w:p w14:paraId="62E2E073" w14:textId="2976B932" w:rsidR="008E7986" w:rsidRDefault="003E7753" w:rsidP="0086094D">
      <w:pPr>
        <w:pStyle w:val="Proposal"/>
      </w:pPr>
      <w:r w:rsidRPr="003E7753">
        <w:t xml:space="preserve"> </w:t>
      </w:r>
    </w:p>
    <w:p w14:paraId="34C99636" w14:textId="77777777" w:rsidR="008E7986" w:rsidRDefault="008E7986" w:rsidP="008E7986">
      <w:pPr>
        <w:pStyle w:val="Heading1"/>
      </w:pPr>
      <w:r>
        <w:t>3</w:t>
      </w:r>
      <w:r>
        <w:tab/>
        <w:t>Conclusions</w:t>
      </w:r>
    </w:p>
    <w:p w14:paraId="0AB8ECB8" w14:textId="6D6CF794" w:rsidR="00007A5E" w:rsidRDefault="00C94838" w:rsidP="00E72324">
      <w:r>
        <w:t xml:space="preserve">In this discussion paper we presented our considerations on </w:t>
      </w:r>
      <w:r w:rsidR="00695CB8">
        <w:t>the</w:t>
      </w:r>
      <w:r>
        <w:t xml:space="preserve"> ETSI requirements for the L-</w:t>
      </w:r>
      <w:r w:rsidR="00695CB8">
        <w:t>band(s)</w:t>
      </w:r>
      <w:r>
        <w:t xml:space="preserve"> and </w:t>
      </w:r>
      <w:r w:rsidR="00695CB8">
        <w:t xml:space="preserve">whether they can be met by the </w:t>
      </w:r>
      <w:r w:rsidR="003D514B">
        <w:t>NB-</w:t>
      </w:r>
      <w:r w:rsidR="00695CB8">
        <w:t>IOT</w:t>
      </w:r>
      <w:r w:rsidR="00293B65">
        <w:t>.</w:t>
      </w:r>
      <w:r w:rsidR="00695CB8">
        <w:t xml:space="preserve"> Based on the presented analysis and additional power back-off simulations </w:t>
      </w:r>
      <w:r w:rsidR="00007A5E">
        <w:t>conducted for the ETSI in-band mask, our conclusion is that no additional power back-off should be defined for the IOT bands 255 and 253.</w:t>
      </w:r>
    </w:p>
    <w:p w14:paraId="186881DD" w14:textId="77777777" w:rsidR="00A511B3" w:rsidRPr="00D325B6" w:rsidRDefault="00A511B3" w:rsidP="00A511B3">
      <w:pPr>
        <w:pStyle w:val="Observation"/>
      </w:pPr>
      <w:r w:rsidRPr="00D325B6">
        <w:t>Observation 1a:</w:t>
      </w:r>
      <w:r w:rsidRPr="00D325B6">
        <w:tab/>
        <w:t>Same ETSI in-band mask from EN 301681 is assumed for sub-range 1 and sub-range 2, i.e. IOT bands 255 and 253.</w:t>
      </w:r>
    </w:p>
    <w:p w14:paraId="7C4AB367" w14:textId="77777777" w:rsidR="00A511B3" w:rsidRPr="00D325B6" w:rsidRDefault="00A511B3" w:rsidP="00A511B3">
      <w:pPr>
        <w:pStyle w:val="Observation"/>
      </w:pPr>
      <w:r w:rsidRPr="00D325B6">
        <w:t>Observation 1b:</w:t>
      </w:r>
      <w:r w:rsidRPr="00D325B6">
        <w:tab/>
        <w:t>While the ETSI in-band mask is more stringent for the offset at 100-150kHz, actual power back-off simulations indicate that all emissions stay within the ETSI limits.</w:t>
      </w:r>
    </w:p>
    <w:p w14:paraId="6535F75D" w14:textId="77777777" w:rsidR="00A511B3" w:rsidRPr="00300BF3" w:rsidRDefault="00A511B3" w:rsidP="00A511B3">
      <w:pPr>
        <w:pStyle w:val="Observation"/>
      </w:pPr>
      <w:r w:rsidRPr="00300BF3">
        <w:t xml:space="preserve">Observation </w:t>
      </w:r>
      <w:r>
        <w:t>2</w:t>
      </w:r>
      <w:r w:rsidRPr="00300BF3">
        <w:t>a:</w:t>
      </w:r>
      <w:r w:rsidRPr="00300BF3">
        <w:tab/>
      </w:r>
      <w:r>
        <w:t>Sub-range 1 (band 255) lower edge strict emission requirements are handled via additional guard band</w:t>
      </w:r>
      <w:r w:rsidRPr="00300BF3">
        <w:t>.</w:t>
      </w:r>
      <w:r>
        <w:t xml:space="preserve"> Upper edge emission limits are based on the in-band mask and thus would not require any power back-off.</w:t>
      </w:r>
    </w:p>
    <w:p w14:paraId="625FA032" w14:textId="21F4D2E1" w:rsidR="00A511B3" w:rsidRPr="00300BF3" w:rsidRDefault="00A511B3" w:rsidP="00A511B3">
      <w:pPr>
        <w:pStyle w:val="Observation"/>
      </w:pPr>
      <w:r w:rsidRPr="00300BF3">
        <w:t xml:space="preserve">Observation </w:t>
      </w:r>
      <w:r w:rsidR="00B302D2">
        <w:t>2</w:t>
      </w:r>
      <w:r w:rsidRPr="00300BF3">
        <w:t>b:</w:t>
      </w:r>
      <w:r w:rsidRPr="00300BF3">
        <w:tab/>
      </w:r>
      <w:r>
        <w:t>Sub-range 2 (band 253) lower and upper edge emission requirements are based on the in-band mask and thus would not require any power back-off.</w:t>
      </w:r>
    </w:p>
    <w:p w14:paraId="0DA01C95" w14:textId="735E05EA" w:rsidR="0062595A" w:rsidRDefault="0062595A" w:rsidP="00E72324"/>
    <w:p w14:paraId="769CC3B8" w14:textId="77777777" w:rsidR="0062595A" w:rsidRDefault="0062595A" w:rsidP="00E72324"/>
    <w:p w14:paraId="05CC6F0A" w14:textId="135A2F15" w:rsidR="005E69AE" w:rsidRDefault="005E69AE" w:rsidP="0062595A">
      <w:pPr>
        <w:spacing w:after="0"/>
      </w:pPr>
    </w:p>
    <w:p w14:paraId="4D133CD8" w14:textId="5D78B987" w:rsidR="00276EE4" w:rsidRPr="003A0483" w:rsidRDefault="005E69AE" w:rsidP="000D322B">
      <w:pPr>
        <w:pStyle w:val="Heading1"/>
      </w:pPr>
      <w:r>
        <w:t>4</w:t>
      </w:r>
      <w:r>
        <w:tab/>
        <w:t>References</w:t>
      </w:r>
    </w:p>
    <w:p w14:paraId="2FB0F042" w14:textId="77777777" w:rsidR="009710AA" w:rsidRPr="004D3578" w:rsidRDefault="009710AA" w:rsidP="009710AA">
      <w:pPr>
        <w:pStyle w:val="EX"/>
      </w:pPr>
      <w:bookmarkStart w:id="1" w:name="_Ref13820109"/>
      <w:r w:rsidRPr="00804854">
        <w:t>RP-193234</w:t>
      </w:r>
      <w:r>
        <w:t>, "</w:t>
      </w:r>
      <w:r w:rsidRPr="00804854">
        <w:t>Solutions for NR to support non-terrestrial networks (NTN)</w:t>
      </w:r>
      <w:r>
        <w:t>", Thales</w:t>
      </w:r>
      <w:bookmarkEnd w:id="1"/>
    </w:p>
    <w:p w14:paraId="21F9D74F" w14:textId="77777777" w:rsidR="005E69AE" w:rsidRPr="005E69AE" w:rsidRDefault="005E69AE" w:rsidP="005E69AE"/>
    <w:bookmarkEnd w:id="0"/>
    <w:p w14:paraId="2C7BC95E" w14:textId="5BFC2CC0" w:rsidR="00DE1088" w:rsidRDefault="00DE1088">
      <w:pPr>
        <w:spacing w:after="0"/>
      </w:pPr>
      <w:r>
        <w:br w:type="page"/>
      </w:r>
    </w:p>
    <w:p w14:paraId="744DAD1F" w14:textId="25C17E56" w:rsidR="00080512" w:rsidRDefault="00DE1088" w:rsidP="00DE1088">
      <w:pPr>
        <w:pStyle w:val="Heading8"/>
      </w:pPr>
      <w:r>
        <w:lastRenderedPageBreak/>
        <w:t>Annex A:</w:t>
      </w:r>
      <w:r>
        <w:tab/>
        <w:t xml:space="preserve">ETSI </w:t>
      </w:r>
      <w:r w:rsidR="006E34A4" w:rsidRPr="006E34A4">
        <w:t>EN 301681</w:t>
      </w:r>
      <w:r w:rsidR="006E34A4">
        <w:t xml:space="preserve"> </w:t>
      </w:r>
      <w:r>
        <w:t>in-band emission mask</w:t>
      </w:r>
    </w:p>
    <w:p w14:paraId="23E5F46D" w14:textId="77777777" w:rsidR="00DE1088" w:rsidRDefault="00DE1088" w:rsidP="00DE1088"/>
    <w:p w14:paraId="114D3D75" w14:textId="7EC44D4E" w:rsidR="00017B83" w:rsidRDefault="007C7F6C" w:rsidP="00017B83">
      <w:pPr>
        <w:pStyle w:val="TH"/>
      </w:pPr>
      <w:r>
        <w:t>Table A-1: ETSI in-band mask for sub-range 1 and sub-range 2.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38"/>
        <w:gridCol w:w="3769"/>
        <w:gridCol w:w="2015"/>
        <w:gridCol w:w="1909"/>
      </w:tblGrid>
      <w:tr w:rsidR="00017B83" w:rsidRPr="00715883" w14:paraId="716FF6AE" w14:textId="77777777" w:rsidTr="00D1215C">
        <w:trPr>
          <w:trHeight w:val="518"/>
        </w:trPr>
        <w:tc>
          <w:tcPr>
            <w:tcW w:w="1938" w:type="dxa"/>
            <w:vAlign w:val="center"/>
          </w:tcPr>
          <w:p w14:paraId="5B3B7B88" w14:textId="77777777" w:rsidR="00017B83" w:rsidRPr="00715883" w:rsidRDefault="00017B83" w:rsidP="00D1215C">
            <w:pPr>
              <w:pStyle w:val="TAH"/>
            </w:pPr>
            <w:proofErr w:type="spellStart"/>
            <w:r w:rsidRPr="00715883">
              <w:rPr>
                <w:rFonts w:hint="eastAsia"/>
              </w:rPr>
              <w:t>Δ</w:t>
            </w:r>
            <w:r w:rsidRPr="00715883">
              <w:t>f</w:t>
            </w:r>
            <w:r w:rsidRPr="00715883">
              <w:rPr>
                <w:vertAlign w:val="subscript"/>
              </w:rPr>
              <w:t>OOB</w:t>
            </w:r>
            <w:proofErr w:type="spellEnd"/>
            <w:r w:rsidRPr="00715883">
              <w:rPr>
                <w:vertAlign w:val="subscript"/>
              </w:rPr>
              <w:t xml:space="preserve"> </w:t>
            </w:r>
            <w:r w:rsidRPr="00715883">
              <w:t>(kHz)</w:t>
            </w:r>
          </w:p>
        </w:tc>
        <w:tc>
          <w:tcPr>
            <w:tcW w:w="3769" w:type="dxa"/>
            <w:vAlign w:val="center"/>
          </w:tcPr>
          <w:p w14:paraId="13FEFBEE" w14:textId="77777777" w:rsidR="00017B83" w:rsidRPr="00715883" w:rsidRDefault="00017B83" w:rsidP="00D1215C">
            <w:pPr>
              <w:pStyle w:val="TAH"/>
            </w:pPr>
            <w:r w:rsidRPr="00715883">
              <w:t>Spectrum emission limit (dBm)</w:t>
            </w:r>
          </w:p>
        </w:tc>
        <w:tc>
          <w:tcPr>
            <w:tcW w:w="2015" w:type="dxa"/>
            <w:vAlign w:val="center"/>
          </w:tcPr>
          <w:p w14:paraId="3813A60A" w14:textId="77777777" w:rsidR="00017B83" w:rsidRPr="00715883" w:rsidRDefault="00017B83" w:rsidP="00D1215C">
            <w:pPr>
              <w:pStyle w:val="TAH"/>
            </w:pPr>
            <w:r w:rsidRPr="00715883">
              <w:t>Measurement bandwidth</w:t>
            </w:r>
          </w:p>
        </w:tc>
        <w:tc>
          <w:tcPr>
            <w:tcW w:w="1909" w:type="dxa"/>
          </w:tcPr>
          <w:p w14:paraId="64D59989" w14:textId="77777777" w:rsidR="00017B83" w:rsidRPr="00715883" w:rsidRDefault="00017B83" w:rsidP="00D1215C">
            <w:pPr>
              <w:pStyle w:val="TAH"/>
            </w:pPr>
            <w:r>
              <w:t>Note (measurement method)</w:t>
            </w:r>
          </w:p>
        </w:tc>
      </w:tr>
      <w:tr w:rsidR="00017B83" w:rsidRPr="00715883" w14:paraId="0F1ED06E" w14:textId="77777777" w:rsidTr="00D1215C">
        <w:tc>
          <w:tcPr>
            <w:tcW w:w="1938" w:type="dxa"/>
            <w:vAlign w:val="center"/>
          </w:tcPr>
          <w:p w14:paraId="6F577036" w14:textId="77777777" w:rsidR="00017B83" w:rsidRPr="00715883" w:rsidRDefault="00017B83" w:rsidP="00D1215C">
            <w:pPr>
              <w:pStyle w:val="TAC"/>
            </w:pPr>
            <w:r w:rsidRPr="000A09EB">
              <w:rPr>
                <w:rFonts w:cs="Arial"/>
              </w:rPr>
              <w:t>±</w:t>
            </w:r>
            <w:r w:rsidRPr="00715883">
              <w:t xml:space="preserve"> 0-</w:t>
            </w:r>
            <w:r>
              <w:t>25</w:t>
            </w:r>
          </w:p>
        </w:tc>
        <w:tc>
          <w:tcPr>
            <w:tcW w:w="3769" w:type="dxa"/>
            <w:vAlign w:val="center"/>
          </w:tcPr>
          <w:p w14:paraId="0878C354" w14:textId="77777777" w:rsidR="00017B83" w:rsidRPr="00715883" w:rsidRDefault="00017B83" w:rsidP="00D1215C">
            <w:pPr>
              <w:pStyle w:val="TAC"/>
            </w:pPr>
            <w:r>
              <w:t>30 to 15</w:t>
            </w:r>
          </w:p>
        </w:tc>
        <w:tc>
          <w:tcPr>
            <w:tcW w:w="2015" w:type="dxa"/>
            <w:vMerge w:val="restart"/>
            <w:vAlign w:val="center"/>
          </w:tcPr>
          <w:p w14:paraId="1BEA1CCC" w14:textId="77777777" w:rsidR="00017B83" w:rsidRPr="00715883" w:rsidRDefault="00017B83" w:rsidP="00D1215C">
            <w:pPr>
              <w:pStyle w:val="TAC"/>
            </w:pPr>
            <w:r w:rsidRPr="00715883">
              <w:t>3</w:t>
            </w:r>
            <w:r>
              <w:t xml:space="preserve"> </w:t>
            </w:r>
            <w:r w:rsidRPr="00715883">
              <w:t>kHz</w:t>
            </w:r>
          </w:p>
        </w:tc>
        <w:tc>
          <w:tcPr>
            <w:tcW w:w="1909" w:type="dxa"/>
            <w:vMerge w:val="restart"/>
          </w:tcPr>
          <w:p w14:paraId="7F5F892F" w14:textId="77777777" w:rsidR="00017B83" w:rsidRPr="00715883" w:rsidRDefault="00017B83" w:rsidP="00D1215C">
            <w:pPr>
              <w:pStyle w:val="TAC"/>
            </w:pPr>
            <w:r>
              <w:t>Average</w:t>
            </w:r>
          </w:p>
        </w:tc>
      </w:tr>
      <w:tr w:rsidR="00017B83" w:rsidRPr="00715883" w14:paraId="2C8647EB" w14:textId="77777777" w:rsidTr="00D1215C">
        <w:tc>
          <w:tcPr>
            <w:tcW w:w="1938" w:type="dxa"/>
            <w:vAlign w:val="center"/>
          </w:tcPr>
          <w:p w14:paraId="2C2EC548" w14:textId="77777777" w:rsidR="00017B83" w:rsidRPr="00715883" w:rsidRDefault="00017B83" w:rsidP="00D1215C">
            <w:pPr>
              <w:pStyle w:val="TAC"/>
            </w:pPr>
            <w:r w:rsidRPr="000A09EB">
              <w:rPr>
                <w:rFonts w:cs="Arial"/>
              </w:rPr>
              <w:t>±</w:t>
            </w:r>
            <w:r w:rsidRPr="00715883">
              <w:t xml:space="preserve"> </w:t>
            </w:r>
            <w:r>
              <w:t>25</w:t>
            </w:r>
            <w:r w:rsidRPr="00715883">
              <w:t>-</w:t>
            </w:r>
            <w:r>
              <w:t>125</w:t>
            </w:r>
          </w:p>
        </w:tc>
        <w:tc>
          <w:tcPr>
            <w:tcW w:w="3769" w:type="dxa"/>
            <w:vAlign w:val="center"/>
          </w:tcPr>
          <w:p w14:paraId="19533346" w14:textId="77777777" w:rsidR="00017B83" w:rsidRPr="00715883" w:rsidRDefault="00017B83" w:rsidP="00D1215C">
            <w:pPr>
              <w:pStyle w:val="TAC"/>
            </w:pPr>
            <w:r>
              <w:t>15 to -20</w:t>
            </w:r>
          </w:p>
        </w:tc>
        <w:tc>
          <w:tcPr>
            <w:tcW w:w="2015" w:type="dxa"/>
            <w:vMerge/>
            <w:vAlign w:val="center"/>
          </w:tcPr>
          <w:p w14:paraId="27E2CF49" w14:textId="77777777" w:rsidR="00017B83" w:rsidRPr="00715883" w:rsidRDefault="00017B83" w:rsidP="00D1215C">
            <w:pPr>
              <w:pStyle w:val="TAC"/>
            </w:pPr>
          </w:p>
        </w:tc>
        <w:tc>
          <w:tcPr>
            <w:tcW w:w="1909" w:type="dxa"/>
            <w:vMerge/>
          </w:tcPr>
          <w:p w14:paraId="4336E89B" w14:textId="77777777" w:rsidR="00017B83" w:rsidRPr="00715883" w:rsidRDefault="00017B83" w:rsidP="00D1215C">
            <w:pPr>
              <w:pStyle w:val="TAC"/>
            </w:pPr>
          </w:p>
        </w:tc>
      </w:tr>
      <w:tr w:rsidR="00017B83" w:rsidRPr="00715883" w14:paraId="2D649B86" w14:textId="77777777" w:rsidTr="00D1215C">
        <w:tc>
          <w:tcPr>
            <w:tcW w:w="1938" w:type="dxa"/>
            <w:vAlign w:val="center"/>
          </w:tcPr>
          <w:p w14:paraId="3681D265" w14:textId="77777777" w:rsidR="00017B83" w:rsidRPr="00715883" w:rsidRDefault="00017B83" w:rsidP="00D1215C">
            <w:pPr>
              <w:pStyle w:val="TAC"/>
            </w:pPr>
            <w:r w:rsidRPr="000A09EB">
              <w:rPr>
                <w:rFonts w:cs="Arial"/>
              </w:rPr>
              <w:t>±</w:t>
            </w:r>
            <w:r w:rsidRPr="00715883">
              <w:t xml:space="preserve"> </w:t>
            </w:r>
            <w:r>
              <w:t>125</w:t>
            </w:r>
            <w:r w:rsidRPr="00715883">
              <w:t>-</w:t>
            </w:r>
            <w:r>
              <w:t>425</w:t>
            </w:r>
          </w:p>
        </w:tc>
        <w:tc>
          <w:tcPr>
            <w:tcW w:w="3769" w:type="dxa"/>
            <w:vAlign w:val="center"/>
          </w:tcPr>
          <w:p w14:paraId="2D71463B" w14:textId="77777777" w:rsidR="00017B83" w:rsidRPr="00715883" w:rsidRDefault="00017B83" w:rsidP="00D1215C">
            <w:pPr>
              <w:pStyle w:val="TAC"/>
            </w:pPr>
            <w:r w:rsidRPr="00715883">
              <w:t>-</w:t>
            </w:r>
            <w:r>
              <w:t>20</w:t>
            </w:r>
          </w:p>
        </w:tc>
        <w:tc>
          <w:tcPr>
            <w:tcW w:w="2015" w:type="dxa"/>
            <w:vMerge/>
            <w:vAlign w:val="center"/>
          </w:tcPr>
          <w:p w14:paraId="6DA02198" w14:textId="77777777" w:rsidR="00017B83" w:rsidRPr="00715883" w:rsidRDefault="00017B83" w:rsidP="00D1215C">
            <w:pPr>
              <w:pStyle w:val="TAC"/>
            </w:pPr>
          </w:p>
        </w:tc>
        <w:tc>
          <w:tcPr>
            <w:tcW w:w="1909" w:type="dxa"/>
            <w:vMerge/>
          </w:tcPr>
          <w:p w14:paraId="3335AE18" w14:textId="77777777" w:rsidR="00017B83" w:rsidRPr="00715883" w:rsidRDefault="00017B83" w:rsidP="00D1215C">
            <w:pPr>
              <w:pStyle w:val="TAC"/>
            </w:pPr>
          </w:p>
        </w:tc>
      </w:tr>
      <w:tr w:rsidR="00017B83" w:rsidRPr="00715883" w14:paraId="7A058BAB" w14:textId="77777777" w:rsidTr="00D1215C">
        <w:tc>
          <w:tcPr>
            <w:tcW w:w="1938" w:type="dxa"/>
            <w:vAlign w:val="center"/>
          </w:tcPr>
          <w:p w14:paraId="07AF1E21" w14:textId="77777777" w:rsidR="00017B83" w:rsidRPr="00715883" w:rsidRDefault="00017B83" w:rsidP="00D1215C">
            <w:pPr>
              <w:pStyle w:val="TAC"/>
            </w:pPr>
            <w:r w:rsidRPr="000A09EB">
              <w:rPr>
                <w:rFonts w:cs="Arial"/>
              </w:rPr>
              <w:t>±</w:t>
            </w:r>
            <w:r w:rsidRPr="00715883">
              <w:t xml:space="preserve"> </w:t>
            </w:r>
            <w:r>
              <w:t>425</w:t>
            </w:r>
            <w:r w:rsidRPr="00715883">
              <w:t>-</w:t>
            </w:r>
            <w:r>
              <w:t>1500</w:t>
            </w:r>
          </w:p>
        </w:tc>
        <w:tc>
          <w:tcPr>
            <w:tcW w:w="3769" w:type="dxa"/>
            <w:vAlign w:val="center"/>
          </w:tcPr>
          <w:p w14:paraId="64237F2D" w14:textId="77777777" w:rsidR="00017B83" w:rsidRPr="00715883" w:rsidRDefault="00017B83" w:rsidP="00D1215C">
            <w:pPr>
              <w:pStyle w:val="TAC"/>
            </w:pPr>
            <w:r>
              <w:t>-20 to -35</w:t>
            </w:r>
          </w:p>
        </w:tc>
        <w:tc>
          <w:tcPr>
            <w:tcW w:w="2015" w:type="dxa"/>
            <w:vMerge/>
            <w:vAlign w:val="center"/>
          </w:tcPr>
          <w:p w14:paraId="40D2BB1D" w14:textId="77777777" w:rsidR="00017B83" w:rsidRPr="00715883" w:rsidRDefault="00017B83" w:rsidP="00D1215C">
            <w:pPr>
              <w:pStyle w:val="TAC"/>
            </w:pPr>
          </w:p>
        </w:tc>
        <w:tc>
          <w:tcPr>
            <w:tcW w:w="1909" w:type="dxa"/>
            <w:vMerge/>
          </w:tcPr>
          <w:p w14:paraId="6F61123C" w14:textId="77777777" w:rsidR="00017B83" w:rsidRPr="00715883" w:rsidRDefault="00017B83" w:rsidP="00D1215C">
            <w:pPr>
              <w:pStyle w:val="TAC"/>
            </w:pPr>
          </w:p>
        </w:tc>
      </w:tr>
      <w:tr w:rsidR="00017B83" w14:paraId="3339FBA0" w14:textId="77777777" w:rsidTr="00D1215C">
        <w:tc>
          <w:tcPr>
            <w:tcW w:w="1938" w:type="dxa"/>
            <w:vAlign w:val="center"/>
          </w:tcPr>
          <w:p w14:paraId="41CC1356" w14:textId="77777777" w:rsidR="00017B83" w:rsidRPr="00715883" w:rsidRDefault="00017B83" w:rsidP="00D1215C">
            <w:pPr>
              <w:pStyle w:val="TAC"/>
            </w:pPr>
            <w:r w:rsidRPr="000A09EB">
              <w:rPr>
                <w:rFonts w:cs="Arial"/>
              </w:rPr>
              <w:t>±</w:t>
            </w:r>
            <w:r w:rsidRPr="00715883">
              <w:t xml:space="preserve"> </w:t>
            </w:r>
            <w:r>
              <w:t>1500</w:t>
            </w:r>
            <w:r w:rsidRPr="00715883">
              <w:t>-</w:t>
            </w:r>
            <w:r>
              <w:t>36000</w:t>
            </w:r>
          </w:p>
        </w:tc>
        <w:tc>
          <w:tcPr>
            <w:tcW w:w="3769" w:type="dxa"/>
            <w:vAlign w:val="center"/>
          </w:tcPr>
          <w:p w14:paraId="4D0E9997" w14:textId="77777777" w:rsidR="00017B83" w:rsidRPr="00715883" w:rsidRDefault="00017B83" w:rsidP="00D1215C">
            <w:pPr>
              <w:pStyle w:val="TAC"/>
            </w:pPr>
            <w:r>
              <w:t>-25</w:t>
            </w:r>
          </w:p>
        </w:tc>
        <w:tc>
          <w:tcPr>
            <w:tcW w:w="2015" w:type="dxa"/>
            <w:vAlign w:val="center"/>
          </w:tcPr>
          <w:p w14:paraId="44271D68" w14:textId="77777777" w:rsidR="00017B83" w:rsidRPr="00715883" w:rsidRDefault="00017B83" w:rsidP="00D1215C">
            <w:pPr>
              <w:pStyle w:val="TAC"/>
            </w:pPr>
            <w:r>
              <w:t>30 kHz</w:t>
            </w:r>
          </w:p>
        </w:tc>
        <w:tc>
          <w:tcPr>
            <w:tcW w:w="1909" w:type="dxa"/>
            <w:vMerge/>
          </w:tcPr>
          <w:p w14:paraId="2B9FF9AC" w14:textId="77777777" w:rsidR="00017B83" w:rsidRDefault="00017B83" w:rsidP="00D1215C">
            <w:pPr>
              <w:pStyle w:val="TAC"/>
            </w:pPr>
          </w:p>
        </w:tc>
      </w:tr>
    </w:tbl>
    <w:p w14:paraId="47E13E33" w14:textId="77777777" w:rsidR="00DE1088" w:rsidRPr="00DE1088" w:rsidRDefault="00DE1088" w:rsidP="00DE1088"/>
    <w:p w14:paraId="3E0C9793" w14:textId="259AC683" w:rsidR="007C7F6C" w:rsidRDefault="00817C36" w:rsidP="007C7F6C">
      <w:pPr>
        <w:jc w:val="center"/>
      </w:pPr>
      <w:r>
        <w:rPr>
          <w:noProof/>
        </w:rPr>
        <w:drawing>
          <wp:inline distT="0" distB="0" distL="0" distR="0" wp14:anchorId="3DBE520D" wp14:editId="25DEB3A6">
            <wp:extent cx="1612672" cy="6202018"/>
            <wp:effectExtent l="0" t="0" r="635" b="0"/>
            <wp:docPr id="942670508" name="Graphic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2670508" name="Graphic 942670508"/>
                    <pic:cNvPicPr/>
                  </pic:nvPicPr>
                  <pic:blipFill>
                    <a:blip r:embed="rId13">
                      <a:extLs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6967" cy="63339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1FCAEE" w14:textId="23A0923A" w:rsidR="007C7F6C" w:rsidRDefault="007C7F6C" w:rsidP="007C7F6C">
      <w:pPr>
        <w:pStyle w:val="TF"/>
      </w:pPr>
      <w:r>
        <w:t>Figure A-1: Superposition of the ETSI in-band mask (pink) and 3GPP NB-IOT mask (blue).</w:t>
      </w:r>
    </w:p>
    <w:p w14:paraId="60BFEDA4" w14:textId="77777777" w:rsidR="007C7F6C" w:rsidRDefault="007C7F6C"/>
    <w:sectPr w:rsidR="007C7F6C" w:rsidSect="00114E2C">
      <w:headerReference w:type="default" r:id="rId15"/>
      <w:footerReference w:type="defaul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E4F88F" w14:textId="77777777" w:rsidR="000B5247" w:rsidRDefault="000B5247">
      <w:r>
        <w:separator/>
      </w:r>
    </w:p>
  </w:endnote>
  <w:endnote w:type="continuationSeparator" w:id="0">
    <w:p w14:paraId="11E6CAFC" w14:textId="77777777" w:rsidR="000B5247" w:rsidRDefault="000B5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16C8FF" w14:textId="77777777" w:rsidR="000B5247" w:rsidRDefault="000B5247">
      <w:r>
        <w:separator/>
      </w:r>
    </w:p>
  </w:footnote>
  <w:footnote w:type="continuationSeparator" w:id="0">
    <w:p w14:paraId="10130EF7" w14:textId="77777777" w:rsidR="000B5247" w:rsidRDefault="000B52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010081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0199236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00216231">
    <w:abstractNumId w:val="1"/>
  </w:num>
  <w:num w:numId="4" w16cid:durableId="108285549">
    <w:abstractNumId w:val="5"/>
  </w:num>
  <w:num w:numId="5" w16cid:durableId="1918592446">
    <w:abstractNumId w:val="2"/>
  </w:num>
  <w:num w:numId="6" w16cid:durableId="1353264174">
    <w:abstractNumId w:val="2"/>
  </w:num>
  <w:num w:numId="7" w16cid:durableId="1929343201">
    <w:abstractNumId w:val="4"/>
  </w:num>
  <w:num w:numId="8" w16cid:durableId="53767009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5BED"/>
    <w:rsid w:val="00007A5E"/>
    <w:rsid w:val="00017B83"/>
    <w:rsid w:val="00033397"/>
    <w:rsid w:val="00040095"/>
    <w:rsid w:val="00051834"/>
    <w:rsid w:val="00054A22"/>
    <w:rsid w:val="00062023"/>
    <w:rsid w:val="00063E2F"/>
    <w:rsid w:val="000655A6"/>
    <w:rsid w:val="00080512"/>
    <w:rsid w:val="000843E8"/>
    <w:rsid w:val="00087819"/>
    <w:rsid w:val="000A365D"/>
    <w:rsid w:val="000A3D66"/>
    <w:rsid w:val="000A68F3"/>
    <w:rsid w:val="000B5247"/>
    <w:rsid w:val="000C47C3"/>
    <w:rsid w:val="000D322B"/>
    <w:rsid w:val="000D58AB"/>
    <w:rsid w:val="000D59FD"/>
    <w:rsid w:val="00103CDF"/>
    <w:rsid w:val="00104BC6"/>
    <w:rsid w:val="00105A14"/>
    <w:rsid w:val="00114E2C"/>
    <w:rsid w:val="00133525"/>
    <w:rsid w:val="0014090D"/>
    <w:rsid w:val="00140A0B"/>
    <w:rsid w:val="001954BE"/>
    <w:rsid w:val="00196838"/>
    <w:rsid w:val="001A4C42"/>
    <w:rsid w:val="001B009A"/>
    <w:rsid w:val="001C21C3"/>
    <w:rsid w:val="001C3037"/>
    <w:rsid w:val="001D02C2"/>
    <w:rsid w:val="001F0C1D"/>
    <w:rsid w:val="001F1132"/>
    <w:rsid w:val="001F168B"/>
    <w:rsid w:val="00215168"/>
    <w:rsid w:val="00220194"/>
    <w:rsid w:val="002347A2"/>
    <w:rsid w:val="00236878"/>
    <w:rsid w:val="00247926"/>
    <w:rsid w:val="002675F0"/>
    <w:rsid w:val="0027645E"/>
    <w:rsid w:val="00276EE4"/>
    <w:rsid w:val="002810CC"/>
    <w:rsid w:val="0028779C"/>
    <w:rsid w:val="0028796A"/>
    <w:rsid w:val="00293B65"/>
    <w:rsid w:val="002B1180"/>
    <w:rsid w:val="002B2390"/>
    <w:rsid w:val="002B6339"/>
    <w:rsid w:val="002C329D"/>
    <w:rsid w:val="002E00EE"/>
    <w:rsid w:val="00300BF3"/>
    <w:rsid w:val="003172DC"/>
    <w:rsid w:val="00320AA4"/>
    <w:rsid w:val="00321C59"/>
    <w:rsid w:val="0032423A"/>
    <w:rsid w:val="003333B3"/>
    <w:rsid w:val="00337364"/>
    <w:rsid w:val="0034052F"/>
    <w:rsid w:val="00347152"/>
    <w:rsid w:val="0035462D"/>
    <w:rsid w:val="003765B8"/>
    <w:rsid w:val="00385187"/>
    <w:rsid w:val="00386D57"/>
    <w:rsid w:val="003A0483"/>
    <w:rsid w:val="003A103E"/>
    <w:rsid w:val="003A57BF"/>
    <w:rsid w:val="003B5FDA"/>
    <w:rsid w:val="003C3971"/>
    <w:rsid w:val="003C3D83"/>
    <w:rsid w:val="003D514B"/>
    <w:rsid w:val="003E7753"/>
    <w:rsid w:val="003F3E46"/>
    <w:rsid w:val="00423334"/>
    <w:rsid w:val="004345EC"/>
    <w:rsid w:val="00434F1B"/>
    <w:rsid w:val="004826A9"/>
    <w:rsid w:val="004C1601"/>
    <w:rsid w:val="004D3578"/>
    <w:rsid w:val="004E213A"/>
    <w:rsid w:val="004F0988"/>
    <w:rsid w:val="004F3340"/>
    <w:rsid w:val="004F3E3D"/>
    <w:rsid w:val="0052216E"/>
    <w:rsid w:val="005229C2"/>
    <w:rsid w:val="0052436C"/>
    <w:rsid w:val="0053388B"/>
    <w:rsid w:val="00535773"/>
    <w:rsid w:val="00541B74"/>
    <w:rsid w:val="00543E6C"/>
    <w:rsid w:val="00552802"/>
    <w:rsid w:val="00564314"/>
    <w:rsid w:val="00565087"/>
    <w:rsid w:val="00572E14"/>
    <w:rsid w:val="005973BE"/>
    <w:rsid w:val="005A5986"/>
    <w:rsid w:val="005C1E64"/>
    <w:rsid w:val="005D2E01"/>
    <w:rsid w:val="005D7526"/>
    <w:rsid w:val="005E69AE"/>
    <w:rsid w:val="005F0662"/>
    <w:rsid w:val="00602AEA"/>
    <w:rsid w:val="00607E3C"/>
    <w:rsid w:val="00614FDF"/>
    <w:rsid w:val="006246A7"/>
    <w:rsid w:val="0062595A"/>
    <w:rsid w:val="00633CFF"/>
    <w:rsid w:val="0063543D"/>
    <w:rsid w:val="00647114"/>
    <w:rsid w:val="006567D5"/>
    <w:rsid w:val="00695CB8"/>
    <w:rsid w:val="006A1C68"/>
    <w:rsid w:val="006A323F"/>
    <w:rsid w:val="006B1F12"/>
    <w:rsid w:val="006B30D0"/>
    <w:rsid w:val="006C3D95"/>
    <w:rsid w:val="006C6B83"/>
    <w:rsid w:val="006E1154"/>
    <w:rsid w:val="006E34A4"/>
    <w:rsid w:val="006E5C86"/>
    <w:rsid w:val="006E7B31"/>
    <w:rsid w:val="006E7B56"/>
    <w:rsid w:val="006F00ED"/>
    <w:rsid w:val="007003AF"/>
    <w:rsid w:val="00713C44"/>
    <w:rsid w:val="00734A5B"/>
    <w:rsid w:val="0074026F"/>
    <w:rsid w:val="007429F6"/>
    <w:rsid w:val="00744E76"/>
    <w:rsid w:val="00745958"/>
    <w:rsid w:val="00752198"/>
    <w:rsid w:val="00753881"/>
    <w:rsid w:val="00766F03"/>
    <w:rsid w:val="00774DA4"/>
    <w:rsid w:val="00781BC9"/>
    <w:rsid w:val="00781F0F"/>
    <w:rsid w:val="00785878"/>
    <w:rsid w:val="00796D01"/>
    <w:rsid w:val="007B600E"/>
    <w:rsid w:val="007C023B"/>
    <w:rsid w:val="007C7F6C"/>
    <w:rsid w:val="007D57C5"/>
    <w:rsid w:val="007E0D53"/>
    <w:rsid w:val="007F0F4A"/>
    <w:rsid w:val="008028A4"/>
    <w:rsid w:val="00814B32"/>
    <w:rsid w:val="00816F41"/>
    <w:rsid w:val="00817C36"/>
    <w:rsid w:val="00820B25"/>
    <w:rsid w:val="00830747"/>
    <w:rsid w:val="00832408"/>
    <w:rsid w:val="0086094D"/>
    <w:rsid w:val="008664AA"/>
    <w:rsid w:val="008711D0"/>
    <w:rsid w:val="008768CA"/>
    <w:rsid w:val="008C26B5"/>
    <w:rsid w:val="008C384C"/>
    <w:rsid w:val="008E03C4"/>
    <w:rsid w:val="008E7986"/>
    <w:rsid w:val="008F1A61"/>
    <w:rsid w:val="0090271F"/>
    <w:rsid w:val="00902E23"/>
    <w:rsid w:val="009114D7"/>
    <w:rsid w:val="0091348E"/>
    <w:rsid w:val="00917CCB"/>
    <w:rsid w:val="009416E2"/>
    <w:rsid w:val="00942EC2"/>
    <w:rsid w:val="009664B0"/>
    <w:rsid w:val="009710AA"/>
    <w:rsid w:val="009720D1"/>
    <w:rsid w:val="009A7F7E"/>
    <w:rsid w:val="009F37B7"/>
    <w:rsid w:val="009F5E43"/>
    <w:rsid w:val="009F5F3D"/>
    <w:rsid w:val="00A01244"/>
    <w:rsid w:val="00A024C2"/>
    <w:rsid w:val="00A10F02"/>
    <w:rsid w:val="00A164B4"/>
    <w:rsid w:val="00A25B38"/>
    <w:rsid w:val="00A26956"/>
    <w:rsid w:val="00A511B3"/>
    <w:rsid w:val="00A53724"/>
    <w:rsid w:val="00A73129"/>
    <w:rsid w:val="00A82346"/>
    <w:rsid w:val="00A85D89"/>
    <w:rsid w:val="00A917CA"/>
    <w:rsid w:val="00A92BA1"/>
    <w:rsid w:val="00AB337F"/>
    <w:rsid w:val="00AC6BC6"/>
    <w:rsid w:val="00AE3797"/>
    <w:rsid w:val="00B13555"/>
    <w:rsid w:val="00B142FF"/>
    <w:rsid w:val="00B15449"/>
    <w:rsid w:val="00B302D2"/>
    <w:rsid w:val="00B34884"/>
    <w:rsid w:val="00B554A2"/>
    <w:rsid w:val="00B650C4"/>
    <w:rsid w:val="00B85785"/>
    <w:rsid w:val="00B93086"/>
    <w:rsid w:val="00BA19ED"/>
    <w:rsid w:val="00BA300B"/>
    <w:rsid w:val="00BA4B8D"/>
    <w:rsid w:val="00BC0F7D"/>
    <w:rsid w:val="00BC38F7"/>
    <w:rsid w:val="00BC7625"/>
    <w:rsid w:val="00BE3255"/>
    <w:rsid w:val="00BE78A9"/>
    <w:rsid w:val="00BF128E"/>
    <w:rsid w:val="00C1496A"/>
    <w:rsid w:val="00C33079"/>
    <w:rsid w:val="00C410A9"/>
    <w:rsid w:val="00C45231"/>
    <w:rsid w:val="00C65948"/>
    <w:rsid w:val="00C72833"/>
    <w:rsid w:val="00C72C1E"/>
    <w:rsid w:val="00C77BB2"/>
    <w:rsid w:val="00C80F1D"/>
    <w:rsid w:val="00C814CA"/>
    <w:rsid w:val="00C83810"/>
    <w:rsid w:val="00C93F40"/>
    <w:rsid w:val="00C94838"/>
    <w:rsid w:val="00CA3D0C"/>
    <w:rsid w:val="00CA4BCC"/>
    <w:rsid w:val="00CC7C66"/>
    <w:rsid w:val="00CE3A08"/>
    <w:rsid w:val="00CF20E3"/>
    <w:rsid w:val="00CF4836"/>
    <w:rsid w:val="00D16AF1"/>
    <w:rsid w:val="00D309CC"/>
    <w:rsid w:val="00D31FE0"/>
    <w:rsid w:val="00D325B6"/>
    <w:rsid w:val="00D333FB"/>
    <w:rsid w:val="00D41A75"/>
    <w:rsid w:val="00D4627C"/>
    <w:rsid w:val="00D46431"/>
    <w:rsid w:val="00D56A52"/>
    <w:rsid w:val="00D57972"/>
    <w:rsid w:val="00D62CF4"/>
    <w:rsid w:val="00D66E31"/>
    <w:rsid w:val="00D675A9"/>
    <w:rsid w:val="00D738D6"/>
    <w:rsid w:val="00D755EB"/>
    <w:rsid w:val="00D7700A"/>
    <w:rsid w:val="00D83D65"/>
    <w:rsid w:val="00D87E00"/>
    <w:rsid w:val="00D9134D"/>
    <w:rsid w:val="00DA70C9"/>
    <w:rsid w:val="00DA7A03"/>
    <w:rsid w:val="00DB1818"/>
    <w:rsid w:val="00DC309B"/>
    <w:rsid w:val="00DC4DA2"/>
    <w:rsid w:val="00DD474B"/>
    <w:rsid w:val="00DD4C17"/>
    <w:rsid w:val="00DD5217"/>
    <w:rsid w:val="00DE1088"/>
    <w:rsid w:val="00DF2007"/>
    <w:rsid w:val="00DF2B1F"/>
    <w:rsid w:val="00DF6189"/>
    <w:rsid w:val="00DF62CD"/>
    <w:rsid w:val="00E0380E"/>
    <w:rsid w:val="00E11FF8"/>
    <w:rsid w:val="00E16509"/>
    <w:rsid w:val="00E32641"/>
    <w:rsid w:val="00E44582"/>
    <w:rsid w:val="00E52814"/>
    <w:rsid w:val="00E5486E"/>
    <w:rsid w:val="00E70EB9"/>
    <w:rsid w:val="00E72324"/>
    <w:rsid w:val="00E72ABE"/>
    <w:rsid w:val="00E77645"/>
    <w:rsid w:val="00E83C1B"/>
    <w:rsid w:val="00E84A16"/>
    <w:rsid w:val="00EA4C9E"/>
    <w:rsid w:val="00EB68EC"/>
    <w:rsid w:val="00EC4A25"/>
    <w:rsid w:val="00EE5AA7"/>
    <w:rsid w:val="00EF487C"/>
    <w:rsid w:val="00F025A2"/>
    <w:rsid w:val="00F04712"/>
    <w:rsid w:val="00F21311"/>
    <w:rsid w:val="00F22EC7"/>
    <w:rsid w:val="00F325C8"/>
    <w:rsid w:val="00F345E1"/>
    <w:rsid w:val="00F4738D"/>
    <w:rsid w:val="00F47F57"/>
    <w:rsid w:val="00F55410"/>
    <w:rsid w:val="00F55AC2"/>
    <w:rsid w:val="00F55E6B"/>
    <w:rsid w:val="00F57645"/>
    <w:rsid w:val="00F62AEB"/>
    <w:rsid w:val="00F653B8"/>
    <w:rsid w:val="00F70647"/>
    <w:rsid w:val="00F71596"/>
    <w:rsid w:val="00F86D62"/>
    <w:rsid w:val="00FA1266"/>
    <w:rsid w:val="00FB0A55"/>
    <w:rsid w:val="00FB4F82"/>
    <w:rsid w:val="00FC1192"/>
    <w:rsid w:val="00FD424A"/>
    <w:rsid w:val="00FF3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aliases w:val="TableGrid,SGS Table Basic 1,网格型"/>
    <w:basedOn w:val="TableNormal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character" w:customStyle="1" w:styleId="THChar">
    <w:name w:val="TH Char"/>
    <w:link w:val="TH"/>
    <w:qFormat/>
    <w:rsid w:val="00017B83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017B8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rsid w:val="00017B83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sv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049962-C671-A743-A102-EF0DB71B9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84</TotalTime>
  <Pages>4</Pages>
  <Words>986</Words>
  <Characters>5137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6111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Alexander Sayenko</cp:lastModifiedBy>
  <cp:revision>43</cp:revision>
  <cp:lastPrinted>2019-02-25T13:05:00Z</cp:lastPrinted>
  <dcterms:created xsi:type="dcterms:W3CDTF">2025-11-06T12:14:00Z</dcterms:created>
  <dcterms:modified xsi:type="dcterms:W3CDTF">2025-11-07T14:55:00Z</dcterms:modified>
  <cp:category/>
</cp:coreProperties>
</file>